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6:00 p.m., Monday, March 14,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ab/>
        <w:t xml:space="preserve">a.  Susan Harris-Broomfield – Wellness Program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February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Facilities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Superintendent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</w:t>
        <w:tab/>
        <w:t xml:space="preserve">1.  Technology Plan Report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Accept resignation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B.  NASB Legislative Representative Candidate for Region 14 nomination (Greg Larson is current rep)</w:t>
        <w:tab/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C.  Consideration of Bid – McCook Elementary Building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05-01 Elastomeric Membrane Roofing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Weathercraft</w:t>
        <w:tab/>
        <w:tab/>
        <w:tab/>
        <w:t xml:space="preserve">$262,634.00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Dobberstein Roofing</w:t>
        <w:tab/>
        <w:tab/>
        <w:t xml:space="preserve">$281,970.00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Roofmasters Roofing</w:t>
        <w:tab/>
        <w:tab/>
        <w:t xml:space="preserve">$316,620.00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Twin City Roofing</w:t>
        <w:tab/>
        <w:tab/>
        <w:t xml:space="preserve">$325,476.00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05.02.14 agenda</w:t>
      <w:tab/>
      <w:t xml:space="preserve">10 March 2005</w:t>
      <w:tab/>
      <w:t xml:space="preserve">1:07:11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